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86R3705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Neave, Capriglione, Blanco,</w:t>
      </w:r>
      <w:r xml:space="preserve">
        <w:tab wTab="150" tlc="none" cTlc="0"/>
      </w:r>
      <w:r>
        <w:t xml:space="preserve">H.C.R.</w:t>
      </w:r>
      <w:r xml:space="preserve">
        <w:t> </w:t>
      </w:r>
      <w:r>
        <w:t xml:space="preserve">No.</w:t>
      </w:r>
      <w:r xml:space="preserve">
        <w:t> </w:t>
      </w:r>
      <w:r>
        <w:t xml:space="preserve">19</w:t>
      </w:r>
    </w:p>
    <w:p w:rsidR="003F3435" w:rsidRDefault="0032493E">
      <w:pPr>
        <w:jc w:val="both"/>
      </w:pPr>
      <w:r xml:space="preserve">
        <w:t> </w:t>
      </w:r>
      <w:r xml:space="preserve">
        <w:t> </w:t>
      </w:r>
      <w:r xml:space="preserve">
        <w:t> </w:t>
      </w:r>
      <w:r xml:space="preserve">
        <w:t> </w:t>
      </w:r>
      <w:r xml:space="preserve">
        <w:t> </w:t>
      </w:r>
      <w:r>
        <w:t xml:space="preserve">Clardy, et al.</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