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86R12822 CLE-D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Hidalgo County Metropolitan Planning Organization (MPO) is the federally funded transportation planning entity for Hidalgo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Transportation planning decisions made by the Hidalgo County MPO reflect the priorities of its planning partners, which are the cities within the urbanized area of Hidalgo County; the Metropolitan Statistical Area includes Hidalgo, Mission, McAllen and Edinburg;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Hidalgo proposes to include Produce Road between State Highway 115 and State Highway 336 in the Hidalgo County MPO Thoroughfare Plan for future planning purposes; the roadway serves as a collector of commercial truck traffic between the two state highways and needs to be improved;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Hidalgo City Council has passed a resolution of support to direct city staff to include Produce Road as a priority in the city's thoroughfare plan and to urge the Hidalgo County MPO to include the roadway in the Hidalgo County MPO Thoroughfare Plan;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Hidalgo County MPO Thoroughfare Plan identifies roadways that need to be improved to meet the county's future transportation needs, and the inclusion of Produce Road would benefit area residents;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respectfully urge the Hidalgo County Metropolitan Planning Organization to include Produce Road in the Hidalgo County MPO Thoroughfare Plan;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Texas secretary of state forward a copy of this resolution to the director of the Hidalgo County MPO.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