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H.C.R.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February 27, 2019, and ending on Monday, March 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