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HOUSE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day, countless people are exposed to sexually explicit content through a wide range of media, and these consumers are often unaware of the health risks posed by such material;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Children are encountering pornography before their teens, and this early exposure may lead to low self-esteem and body image disorders and an increased desire to engage in risky sexual behavior;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Besides promoting unhealthy sexual expectations, the adult entertainment industry produces media that objectify women and children as well as depict rape and abuse; by associating violence with sexual gratification, these materials perpetuate the demand for sex trafficking, prostitution, child pornography, and sexual abuse images;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Pornography has also been linked to such detrimental health effects as brain development complications, emotional and medical afflictions, the inability to form and maintain intimate relationships, and sexual addiction; these dangers not only affect people on an individual level but also contribute to the degradation of the family unit, frequently leading to marital dissatisfaction and infidelity;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ubiquity of pornography has resulted in a host of societal problems and potentially negative health effects, and it is of paramount importance that our leaders tackle this critical public health issue;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86th Legislature of the State of Texas hereby recognize that pornography is a public health hazard;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86th Legislature of the State of Texas recognize the need for education, prevention, research, and policy changes to address the harmful influence and consequences of pornography.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