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86R20985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times of disaster, including during a hurricane, tornado, flood, or public health epidemic, individuals may need to seek medical care in shelters and other places where their medical information is not readily available; in addition, a large-scale disaster may temporarily force hospitals and medical offices to close, limiting access to medical records from those facilities;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If a patient needs to replace his or her medications, health care workers can serve them most efficiently when up-to-date medical information is provided, and a current list of a patient's immunizations can also prevent them from receiving redundant vaccinations when vaccine supplies are limited;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undertaking advance planning for emergencies, individuals should obtain a summary of their medical record history, which can often be accessed through an online portal managed by their health care provider; these records should include a patient's current allergies and medications, immunizations, medical issues, recent hospitalizations and relevant lab results, contact information for primary care and sub-specialty physicians, and other key data, such as a list of special medical equipment or supplies;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few small steps can make an important difference in adequately coping with emergencies, and the observance of Texans Medical Record Checkup Day on May 1 reminds all state residents to ensure that they and their loved ones are prepared with comprehensive health care information in the event of a major disaster;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86th Legislature of the State of Texas hereby designate May 1 as Texans Medical Record Checkup Day and encourage all Texans to have access to or possession of an accurate summary of their medical records as part of their disaster preparedness plan;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That, in accordance with the provisions of Section 391.004(d), Government Code, this designation remain in effect until the 10th anniversary of the date that this resolution is finally passed by the legislature.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