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</w:t>
      </w:r>
      <w:r xml:space="preserve">
        <w:t> </w:t>
      </w:r>
      <w:r>
        <w:t xml:space="preserve">1397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In SECTION 4 of the bill, in added Section 36.213(f), Utilities Code, strike "</w:t>
      </w:r>
      <w:r>
        <w:rPr>
          <w:u w:val="single"/>
        </w:rPr>
        <w:t xml:space="preserve">recovery for a power generation facility that provides greater than $200 million of Texas jurisdictional generation capacity,</w:t>
      </w:r>
      <w:r>
        <w:t xml:space="preserve">" and substitute "</w:t>
      </w:r>
      <w:r>
        <w:rPr>
          <w:u w:val="single"/>
        </w:rPr>
        <w:t xml:space="preserve">incremental recovery for a power generation facility greater than $200 million on a Texas jurisdictional basis,</w:t>
      </w:r>
      <w:r>
        <w:t xml:space="preserve">".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Phelan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184 was adopted by the House on May</w:t>
      </w:r>
      <w:r xml:space="preserve">
        <w:t> </w:t>
      </w:r>
      <w:r>
        <w:t xml:space="preserve">24,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184 was adopted by the Senate on May</w:t>
      </w:r>
      <w:r xml:space="preserve">
        <w:t> </w:t>
      </w:r>
      <w:r>
        <w:t xml:space="preserve">26,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RECEIVED: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