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HOUSE 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House Bill No.</w:t>
      </w:r>
      <w:r xml:space="preserve">
        <w:t> </w:t>
      </w:r>
      <w:r>
        <w:t xml:space="preserve">109 has been adopted by the house of representatives and the senate and is being prepared for enrollment;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bill contains a technical error that should be corrected;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 by the 86th Legislature of the State of Texas, That the enrolling clerk of the house of representatives be instructed to make the following correction:</w:t>
      </w:r>
    </w:p>
    <w:p w:rsidR="003F3435" w:rsidRDefault="0032493E">
      <w:pPr>
        <w:spacing w:line="480" w:lineRule="auto"/>
        <w:ind w:firstLine="720"/>
        <w:jc w:val="both"/>
      </w:pPr>
      <w:r>
        <w:t xml:space="preserve">In the SECTION of the bill amending Section 12A.004(a)(1), Education Code, as added by Floor Amendment No.</w:t>
      </w:r>
      <w:r xml:space="preserve">
        <w:t> </w:t>
      </w:r>
      <w:r>
        <w:t xml:space="preserve">1 by Hinojosa, between "</w:t>
      </w:r>
      <w:r>
        <w:rPr>
          <w:u w:val="single"/>
        </w:rPr>
        <w:t xml:space="preserve">25.081(f)</w:t>
      </w:r>
      <w:r>
        <w:t xml:space="preserve">" and the semicolon, insert "</w:t>
      </w:r>
      <w:r>
        <w:rPr>
          <w:u w:val="single"/>
        </w:rPr>
        <w:t xml:space="preserve">, as added by Chapter 1144 (H.B. 441), Acts of the 85th Legislature, Regular Session, 2017</w:t>
      </w:r>
      <w:r>
        <w:t xml:space="preserve">".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Martinez</w:t>
      </w:r>
    </w:p>
    <w:p>
      <w:r>
        <w:br w:type="page"/>
      </w:r>
    </w:p>
    <w:p w:rsidR="003F3435" w:rsidRDefault="0032493E">
      <w:pPr>
        <w:spacing w:before="240"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185 was adopted by the House on May 24, 2019, by the following vote: </w:t>
      </w:r>
      <w:r>
        <w:t xml:space="preserve"> </w:t>
      </w:r>
      <w:r>
        <w:t xml:space="preserve">Yeas 141, Nays 1, 2 P</w:t>
      </w:r>
      <w:r>
        <w:t xml:space="preserve">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H.C.R. No. 185 was adopted by the Senate on May 26, 2019, by the following vote: </w:t>
      </w:r>
      <w:r>
        <w:t xml:space="preserve"> 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RECEIVED: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State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