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House Bill No.</w:t>
      </w:r>
      <w:r xml:space="preserve">
        <w:t> </w:t>
      </w:r>
      <w:r>
        <w:t xml:space="preserve">3371 has been adopted by the senate and the house of representatives and is being prepared for enrollment; and</w:t>
      </w:r>
    </w:p>
    <w:p w:rsidR="003F3435" w:rsidRDefault="0032493E">
      <w:pPr>
        <w:spacing w:line="480" w:lineRule="auto"/>
        <w:ind w:firstLine="720"/>
        <w:jc w:val="both"/>
      </w:pPr>
      <w:r>
        <w:t xml:space="preserve">WHEREAS, The bill contains a technical error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 to the enrolled version of House Bill No.</w:t>
      </w:r>
      <w:r xml:space="preserve">
        <w:t> </w:t>
      </w:r>
      <w:r>
        <w:t xml:space="preserve">3371:</w:t>
      </w:r>
    </w:p>
    <w:p w:rsidR="003F3435" w:rsidRDefault="0032493E">
      <w:pPr>
        <w:spacing w:line="480" w:lineRule="auto"/>
        <w:ind w:firstLine="720"/>
        <w:jc w:val="both"/>
      </w:pPr>
      <w:r>
        <w:t xml:space="preserve">In SECTION 1 of the bill, strike added Section 250.009(c)(2), Local Government Code, and substitute the following: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battery-charged fence that are inconsistent with the standards set by the International Electrotechnical Commission as published on June 29, 2018;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alarm system described by Subsection (b); or</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186 was adopted by the House on May 25, 2019, by the following vote: </w:t>
      </w:r>
      <w:r>
        <w:t xml:space="preserve"> </w:t>
      </w:r>
      <w:r>
        <w:t xml:space="preserve">Yeas 146, Nays 0, 1</w:t>
      </w:r>
      <w:r>
        <w:t xml:space="preserve"> </w:t>
      </w:r>
      <w:r>
        <w:t xml:space="preserve">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186 was adopted by the Senate on May 26, 2019, by the following vote: </w:t>
      </w:r>
      <w:r>
        <w:t xml:space="preserve">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