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et al.</w:t>
      </w:r>
      <w:r xml:space="preserve">
        <w:tab wTab="150" tlc="none" cTlc="0"/>
      </w:r>
      <w:r>
        <w:t xml:space="preserve">H.J.R.</w:t>
      </w:r>
      <w:r xml:space="preserve">
        <w:t> </w:t>
      </w:r>
      <w:r>
        <w:t xml:space="preserve">No.</w:t>
      </w:r>
      <w:r xml:space="preserve">
        <w:t> </w:t>
      </w:r>
      <w:r>
        <w:t xml:space="preserve">4</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Creighton, Hinojosa)</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16,</w:t>
      </w:r>
      <w:r xml:space="preserve">
        <w:t> </w:t>
      </w:r>
      <w:r>
        <w:t xml:space="preserve">2019, read first time and referred to Committee on Water &amp; Rural Affairs;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JOINT RESOLUTION</w:t>
      </w:r>
    </w:p>
    <w:p w:rsidR="003F3435" w:rsidRDefault="003F3435"/>
    <w:p w:rsidR="003F3435" w:rsidRDefault="0032493E">
      <w:pPr>
        <w:spacing w:line="480" w:lineRule="auto"/>
        <w:jc w:val="both"/>
      </w:pPr>
      <w:r>
        <w:t xml:space="preserve">proposing a constitutional amendment providing for the creation of the flood infrastructure fund to assist in the financing of drainage, flood mitigation, and flood control projects.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flood infrastructure fund is created as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general law, money in the flood infrastructure fund may be administered and used, without further appropriation, by the Texas Water Development Board or that board's successor in function to provide financing for a drainage, flood mitigation, or flood control project,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and design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to obtain regulatory approval to provide nonstructural and structural flood mitigation and drainage;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construction of structural flood mitigation and drainage infrastructure.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Separate accounts may be established in the flood infrastructure fund as necessary to administer the fund or authorized projects.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creation of the flood infrastructure fund to assist in the financing of drainage, flood mitigation, and flood control projects."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