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H.J.R.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increase the maximum bond amount authorized for the Cancer Prevention and Research Institute of Texas.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67(c), Article 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legislature by general law may authorize the Texas Public Finance Authority to provide for, issue, and sell general obligation bonds of the State of Texas on behalf of the Cancer Prevention and Research Institute of Texas in an amount not to exceed </w:t>
      </w:r>
      <w:r>
        <w:rPr>
          <w:u w:val="single"/>
        </w:rPr>
        <w:t xml:space="preserve">$6</w:t>
      </w:r>
      <w:r>
        <w:t xml:space="preserve"> [</w:t>
      </w:r>
      <w:r>
        <w:rPr>
          <w:strike/>
        </w:rPr>
        <w:t xml:space="preserve">$3</w:t>
      </w:r>
      <w:r>
        <w:t xml:space="preserve">] billion and to enter into related credit agreements.  The Texas Public Finance Authority may not issue more than $300 million in bonds authorized by this subsection in a year.  The bonds shall be executed in the form, on the terms, and in the denominations, bear interest, and be issued in installments as prescribed by the Texas Public Finance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increase by $3 billion the maximum bond amount authorized for the Cancer Prevention and Research Institute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