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H.J.R.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allocate a portion of oil and gas production tax revenue to the counties from which the oil and gas originated.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51-b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51-b.</w:t>
      </w:r>
      <w:r>
        <w:rPr>
          <w:u w:val="single"/>
        </w:rPr>
        <w:t xml:space="preserve"> </w:t>
      </w:r>
      <w:r>
        <w:rPr>
          <w:u w:val="single"/>
        </w:rPr>
        <w:t xml:space="preserve"> </w:t>
      </w:r>
      <w:r>
        <w:rPr>
          <w:u w:val="single"/>
        </w:rPr>
        <w:t xml:space="preserve">The legislature by general law may allocate a portion of oil and gas production tax revenue not otherwise allocated by this constitution to the counties from which the oil and gas originated to be used solely for the purpose of supplementing construction and maintenance of county roads and bridges that are impacted by oil and gas exploration and production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allocate a portion of oil and gas production tax revenue to the counties from which the oil and gas originated."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