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H.J.R.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creation of a regional mobility authority by local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legislature by local law may create a regional mobility authority for the purposes of constructing, maintaining, and operating transportation projects in a region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pass a local law described by Subsection (a) without the local notice required for special or local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create a regional mobility authority by local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