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86R1643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H.J.R.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exempt from ad valorem taxation the total market value of the residence homesteads of certain elderly persons and their surviving spouses.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is entitled to an exemption from ad valorem taxation of the total market value of the person's residence homestead if the person is 80 years of age or older and the person has received an exemption under this section for the residence homestead for at least the preceding 10 years. The surviving spouse of a person who received an exemption under this subsection for the residence homestead of a person 80 years of age or older is entitled to an exemption from ad valorem taxation of the total market value of the same property if the deceased spouse died in a year in which the deceased spouse received the exemption, the surviving spouse was 55 years of age or older when the deceased spouse died, and the property was the residence homestead of the surviving spouse when the deceased spouse died and remains the residence homestead of the surviving spouse. Where ad valorem tax of a political subdivision has previously been pledged for the payment of debt, the taxing officers of the political subdivision may continue to levy and collect the tax against the value of residence homesteads exempted under this subsection until the debt is discharged if the cessation of the levy would impair the obligation of the contract by which the debt was created. The legislature shall provide for formulas to protect school districts against all or part of the revenue loss incurred by the implementation of this subsection. The legislature by general law may prescribe procedures for the administration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86th Legislature, Regular Session, 2019, to exempt from ad valorem taxation the total market value of the residence homesteads of certain elderly persons and their surviving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1-b(q), Article VIII,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exempt from ad valorem taxation the total market value of the residence homestead of a person 80 years of age or older or the person's surviving spouse."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