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86R726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H.J.R.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restrict the power of the legislature to mandate requirements on a municipality or county.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law enacted by the legislature on or after January 1, 2020, that requires a municipality or county to establish, expand, or modify a duty or activity that requires the expenditure of revenue by the municipality or county is not effective unless the legislature appropriates or otherwise provides, from a source other than the revenue of the municipality or county, for the payment or reimbursement of the costs incurred for the biennium by the municipality or county in complying with the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w:t>
      </w:r>
      <w:r>
        <w:t xml:space="preserve"> </w:t>
      </w:r>
      <w:r>
        <w:t xml:space="preserve">"The constitutional amendment to restrict the power of the legislature from mandating unfunded requirements on a municipality or county."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