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H.J.R.</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for a temporary exemption from ad valorem taxation of a portion of the appraised value of certain property damaged by a disaster.</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 Article VIII, Texas Constitution,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by general law may provide that a person who owns property located in an area declared by the governor to be a disaster area following a disaster is entitled to a temporary exemption from ad valorem taxation by a political subdivision of a portion of the appraised value of that property. </w:t>
      </w:r>
      <w:r>
        <w:rPr>
          <w:u w:val="single"/>
        </w:rPr>
        <w:t xml:space="preserve"> </w:t>
      </w:r>
      <w:r>
        <w:rPr>
          <w:u w:val="single"/>
        </w:rPr>
        <w:t xml:space="preserve">The general law may provide that if the governor first declares territory in the political subdivision to be a disaster area as a result of a disaster on or after the date the political subdivision adopts a tax rate for the tax year in which the declaration is issued, a person is entitled to the exemption authorized by this subsection for that tax year only if the exemption is adopted by the governing body of the political subdivision.  The Legislature by general law may prescribe the method of determining the amount of the exemption authorized by this subsection and the duration of the exemption and may provide additional eligibility requirements for the exemption.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5, 2019.  The ballot shall be printed to permit voting for or against the proposition: "The constitutional amendment authorizing the legislature to provide for a temporary exemption from ad valorem taxation of a portion of the appraised value of certain property damaged by a disaster."</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34 was passed by the House on April 17, 2019, by the following vote:</w:t>
      </w:r>
      <w:r xml:space="preserve">
        <w:t> </w:t>
      </w:r>
      <w:r xml:space="preserve">
        <w:t> </w:t>
      </w:r>
      <w:r>
        <w:t xml:space="preserve">Yeas 145, Nays 0, 1 present, not voting; that the House refused to concur in Senate amendments to H.J.R. No. 34 on May 23, 2019, by a non-record vote and requested the appointment of a conference committee to consider the differences between the two houses; and that the House adopted the conference committee report on H.J.R. No. 34 on May 26, 2019, by the following vote:</w:t>
      </w:r>
      <w:r xml:space="preserve">
        <w:t> </w:t>
      </w:r>
      <w:r xml:space="preserve">
        <w:t> </w:t>
      </w:r>
      <w:r>
        <w:t xml:space="preserve">Yeas 144, Nays 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H.J.R. No. 34 was passed by the Senate, with amendments, on May 19, 2019, by the following vote:</w:t>
      </w:r>
      <w:r xml:space="preserve">
        <w:t> </w:t>
      </w:r>
      <w:r xml:space="preserve">
        <w:t> </w:t>
      </w:r>
      <w:r>
        <w:t xml:space="preserve">Yeas 31, Nays 0; at the request of the House, the Senate appointed a conference committee to consider the differences between the two houses; and that the Senate adopted the conference committee report on H.J.R. No. 34 on May 26,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RECEIVED: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Secretary of State</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