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86R4451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Price, Zerwas, Turner of Tarrant,</w:t>
      </w:r>
      <w:r xml:space="preserve">
        <w:tab wTab="150" tlc="none" cTlc="0"/>
      </w:r>
      <w:r>
        <w:t xml:space="preserve">H.J.R.</w:t>
      </w:r>
      <w:r xml:space="preserve">
        <w:t> </w:t>
      </w:r>
      <w:r>
        <w:t xml:space="preserve">No.</w:t>
      </w:r>
      <w:r xml:space="preserve">
        <w:t> </w:t>
      </w:r>
      <w:r>
        <w:t xml:space="preserve">39</w:t>
      </w:r>
    </w:p>
    <w:p w:rsidR="003F3435" w:rsidRDefault="0032493E">
      <w:pPr>
        <w:jc w:val="both"/>
      </w:pPr>
      <w:r xml:space="preserve">
        <w:t> </w:t>
      </w:r>
      <w:r xml:space="preserve">
        <w:t> </w:t>
      </w:r>
      <w:r xml:space="preserve">
        <w:t> </w:t>
      </w:r>
      <w:r xml:space="preserve">
        <w:t> </w:t>
      </w:r>
      <w:r xml:space="preserve">
        <w:t> </w:t>
      </w:r>
      <w:r>
        <w:t xml:space="preserve">Rose, et al.</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relating to the appropriation of the net revenue received from the imposition of state sales and use taxes on sporting goods.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7-d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Subject to Subsection (b) of this section, for each state fiscal year, the net revenue received from the collection of any state taxes imposed on the sale, storage, use, or other consumption in this state of sporting goods that were subject to taxation on January 1, 2019, under Chapter 151, Tax Code, is automatically appropriated when received to the Parks and Wildlife Department and the Texas Historical Commission, or their successors in function, and is allocated between those agencies as provided by general law.  The legislature by general law may provide limitations on the use of money appropriated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adoption of a resolution approved by a record vote of two-thirds of the members of each house of the legislature may direct the comptroller of public accounts to reduce the amount of money appropriated to the Parks and Wildlife Department and the Texas Historical Commission, or their successors in function, under Subsection (a) of this section. </w:t>
      </w:r>
      <w:r>
        <w:rPr>
          <w:u w:val="single"/>
        </w:rPr>
        <w:t xml:space="preserve"> </w:t>
      </w:r>
      <w:r>
        <w:rPr>
          <w:u w:val="single"/>
        </w:rPr>
        <w:t xml:space="preserve">The comptroller may be directed to make that reduction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state fiscal year in which the resolution is adopted, or in either of the following two state fiscal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amount that does not result in a reduction of more than 50 percent of the amount that would otherwise be appropriated to the Parks and Wildlife Department and the Texas Historical Commission, or their successors in function, in the affected state fiscal year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appropriated to the Parks and Wildlife Department and the Texas Historical Commission, or their successors in function, under Subsection (a) of this section may not be considered available for certification by the comptroller of public accounts under Section 49a(b), Article III, of this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"sporting goods" means an item of tangible personal property designed and sold for use in a sport or sporting activity, excluding apparel and footwear except that which is suitable only for use in a sport or sporting activity, and excluding board games, electronic games and similar devices, aircraft and powered vehicles, and replacement parts and accessories for any excluded item.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7-d, Article VIII, of this constitution takes effect September 1, 2021, and applies only to state tax revenue collected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automatic appropriation of the net revenue received from the collection of state taxes imposed on the sale, storage, use, or other consumption in this state of certain sporting goods to the Parks and Wildlife Department and the Texas Historical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