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86R7825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H.J.R.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by one or more political subdivisions of this state property located near a public school or within a municipal management district that is owned for the purpose of building low-income housing.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1-w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1-w.</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may exempt from ad valorem taxation by one or more political subdivisions of this state property located near a public school or within a municipal management district created under general or special law to accomplish the purposes of Sections 52 and 52-a, Article III, and Section 59, Article XVI, of this constitution that is owned by a person for the purpose of building low-income housing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provide additional eligibility requirements for an exemption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exempt from ad valorem taxation by one or more political subdivisions of this state property located near a public school or within a municipal management district that is owned for the purpose of building low-income housing."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