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86R6130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H.J.R.</w:t>
      </w:r>
      <w:r xml:space="preserve">
        <w:t> </w:t>
      </w:r>
      <w:r>
        <w:t xml:space="preserve">No.</w:t>
      </w:r>
      <w:r xml:space="preserve">
        <w:t> </w:t>
      </w:r>
      <w:r>
        <w:t xml:space="preserve">66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dedicating the net revenue from any tax on the sale or use of cannabis or marijuana to public education.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w:t>
      </w:r>
      <w:r>
        <w:rPr>
          <w:u w:val="single"/>
        </w:rPr>
        <w:t xml:space="preserve"> </w:t>
      </w:r>
      <w:r>
        <w:rPr>
          <w:u w:val="single"/>
        </w:rPr>
        <w:t xml:space="preserve"> </w:t>
      </w:r>
      <w:r>
        <w:rPr>
          <w:u w:val="single"/>
        </w:rPr>
        <w:t xml:space="preserve">Subject to legislative appropriation, allocation, and direction, the net revenue remaining after the payment of refunds allowed by law and expenses of collection derived from a tax on the sale or use of cannabis or marijuana may be used only for the support and maintenance of an efficient system of public free schools.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dedicating the net revenue from any tax on the sale or use of cannabis or marijuana to public education."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