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H.J.R.</w:t>
      </w:r>
      <w:r xml:space="preserve">
        <w:t> </w:t>
      </w:r>
      <w:r>
        <w:t xml:space="preserve">No.</w:t>
      </w:r>
      <w:r xml:space="preserve">
        <w:t> </w:t>
      </w:r>
      <w:r>
        <w:t xml:space="preserve">71</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certain judges to become a candidate for another office without automatically resigning from the office already held.</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65(a), Article XVI, Texas Constitution,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the following offices: District Clerks; County Clerks; County Judges; [</w:t>
      </w:r>
      <w:r>
        <w:rPr>
          <w:strike/>
        </w:rPr>
        <w:t xml:space="preserve">Judges of</w:t>
      </w:r>
      <w:r>
        <w:rPr>
          <w:strike/>
        </w:rPr>
        <w:t xml:space="preserve"> </w:t>
      </w:r>
      <w:r>
        <w:rPr>
          <w:strike/>
        </w:rPr>
        <w:t xml:space="preserve">the County Courts at Law, County Criminal Courts, County Probate Courts and County Domestic Relations Courts</w:t>
      </w:r>
      <w:r>
        <w:t xml:space="preserve">]; County Treasurers; Criminal District Attorneys; County Surveyors; County Commissioners; Justices of the Peace; Sheriffs; Assessors and Collectors of Taxes; District Attorneys; County Attorneys; Public Weighers; and Constables.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authorizing certain judges to become a candidate for another office without automatically resigning from the office already held."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