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86R4939 JTS-F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H.J.R.</w:t>
      </w:r>
      <w:r xml:space="preserve">
        <w:t> </w:t>
      </w:r>
      <w:r>
        <w:t xml:space="preserve">No.</w:t>
      </w:r>
      <w:r xml:space="preserve">
        <w:t> </w:t>
      </w:r>
      <w:r>
        <w:t xml:space="preserve">74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allow the transfer of an animal used for county purposes to the animal's handler on the animal's retirement.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52l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52l.</w:t>
      </w:r>
      <w:r>
        <w:rPr>
          <w:u w:val="single"/>
        </w:rPr>
        <w:t xml:space="preserve"> </w:t>
      </w:r>
      <w:r>
        <w:rPr>
          <w:u w:val="single"/>
        </w:rPr>
        <w:t xml:space="preserve"> </w:t>
      </w:r>
      <w:r>
        <w:rPr>
          <w:u w:val="single"/>
        </w:rPr>
        <w:t xml:space="preserve">On the retirement of an animal owned and used by a county for county purposes, the county may transfer ownership of the animal to the animal's handler at no cost to the handler.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to allow the transfer of an animal used for county purposes to the animal's handler on the animal's retirement."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