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86R10429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H.J.R.</w:t>
      </w:r>
      <w:r xml:space="preserve">
        <w:t> </w:t>
      </w:r>
      <w:r>
        <w:t xml:space="preserve">No.</w:t>
      </w:r>
      <w:r xml:space="preserve">
        <w:t> </w:t>
      </w:r>
      <w:r>
        <w:t xml:space="preserve">81</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providing for the creation of the flood infrastructure fund to assist in the financing of drainage, flood mitigation, and flood control projects.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flood infrastructure fund is created as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provided by general law, money in the flood infrastructure fund may be administered and used, without further appropriation, by the Texas Water Development Board or that board's successor in function to provide financing for a drainage, flood mitigation, or flood control project,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planning and design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work to obtain regulatory approval to provide nonstructural and structural flood mitigation and drainage;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construction of structural flood mitigation and drainage infrastructure.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Separate accounts may be established in the flood infrastructure fund as necessary to administer the fund or authorized projects.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providing for the creation of the flood infrastructure fund to assist in the financing of drainage, flood mitigation, and flood control projects."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