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86R11358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H.J.R.</w:t>
      </w:r>
      <w:r xml:space="preserve">
        <w:t> </w:t>
      </w:r>
      <w:r>
        <w:t xml:space="preserve">No.</w:t>
      </w:r>
      <w:r xml:space="preserve">
        <w:t> </w:t>
      </w:r>
      <w:r>
        <w:t xml:space="preserve">86</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to prohibit governmental entities from spending public money on legislative lobbying.</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XVI, Texas Constitution, is amended by adding Section 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74.</w:t>
      </w:r>
      <w:r>
        <w:rPr>
          <w:u w:val="single"/>
        </w:rPr>
        <w:t xml:space="preserve"> </w:t>
      </w:r>
      <w:r>
        <w:rPr>
          <w:u w:val="single"/>
        </w:rPr>
        <w:t xml:space="preserve"> </w:t>
      </w:r>
      <w:r>
        <w:rPr>
          <w:u w:val="single"/>
        </w:rPr>
        <w:t xml:space="preserve">A governmental entity may not spend public money to directly or indirectly influence or attempt to influence the outcome of any legislation pending before the legislature.  The legislature may enact laws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to prohibit the use of public money by governmental entities for legislative lobbying."</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