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86R13111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payment of reparations to the next of kin of certain victims of the state's convict leasing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30a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w:t>
      </w:r>
      <w:r>
        <w:rPr>
          <w:u w:val="single"/>
        </w:rPr>
        <w:t xml:space="preserve"> </w:t>
      </w:r>
      <w:r>
        <w:rPr>
          <w:u w:val="single"/>
        </w:rPr>
        <w:t xml:space="preserve"> </w:t>
      </w:r>
      <w:r>
        <w:rPr>
          <w:u w:val="single"/>
        </w:rPr>
        <w:t xml:space="preserve">(a) In this section, "commission" means the Texas Historical Commission or its successor in function.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any agency of the state that the commission determines is necessary, shall identify the next of kin, if any, of each of the 95 convict leasing victims whose remains were discovered in 2018 at the site of the former Imperial State Prison Farm in Sugar Land. </w:t>
      </w:r>
      <w:r>
        <w:rPr>
          <w:u w:val="single"/>
        </w:rPr>
        <w:t xml:space="preserve"> </w:t>
      </w:r>
      <w:r>
        <w:rPr>
          <w:u w:val="single"/>
        </w:rPr>
        <w:t xml:space="preserve">The next of kin described by this subsection are entitled to reparations to compensate for the harm caused by the state's convict leasing system.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determine the amount of reparations to which the next of kin described by Subsection (a) of this section are entitled.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a schedule of reparations payments for the next of kin described by Subsection (a) of this section. </w:t>
      </w:r>
      <w:r>
        <w:rPr>
          <w:u w:val="single"/>
        </w:rPr>
        <w:t xml:space="preserve"> </w:t>
      </w:r>
      <w:r>
        <w:rPr>
          <w:u w:val="single"/>
        </w:rPr>
        <w:t xml:space="preserve">Each next of kin is entitled to an equal dollar amount of the reparations.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Reparations are payable from funds appropriated for that purpose. </w:t>
      </w:r>
      <w:r>
        <w:rPr>
          <w:u w:val="single"/>
        </w:rPr>
        <w:t xml:space="preserve"> </w:t>
      </w:r>
      <w:r>
        <w:rPr>
          <w:u w:val="single"/>
        </w:rPr>
        <w:t xml:space="preserve">Payment shall be made in the manner provided by law under the general supervision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This temporary provision applies to the constitutional amendment proposed by the 86th Legislature, Regular Session, 2019, that requires the Texas Historical Commission to make payments of reparations to the next of kin of certain victims of the state's convict leasing system. </w:t>
      </w:r>
      <w:r>
        <w:rPr>
          <w:u w:val="single"/>
        </w:rPr>
        <w:t xml:space="preserve"> </w:t>
      </w:r>
      <w:r>
        <w:rPr>
          <w:u w:val="single"/>
        </w:rPr>
        <w:t xml:space="preserve">On the date the commission completes reparations payments to the next of kin: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temporary provision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30a, Article I, of this constitution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payment of reparations to the next of kin of certain victims of the state's convict leasing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