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95</w:t>
      </w:r>
    </w:p>
    <w:p w:rsidR="003F3435" w:rsidRDefault="0032493E">
      <w:pPr>
        <w:spacing w:line="480" w:lineRule="auto"/>
        <w:jc w:val="both"/>
      </w:pPr>
      <w:r>
        <w:t xml:space="preserve">Substitute the following for</w:t>
      </w:r>
      <w:r xml:space="preserve">
        <w:t> </w:t>
      </w:r>
      <w:r>
        <w:t xml:space="preserve">H.J.R.</w:t>
      </w:r>
      <w:r xml:space="preserve">
        <w:t> </w:t>
      </w:r>
      <w:r>
        <w:t xml:space="preserve">No.</w:t>
      </w:r>
      <w:r xml:space="preserve">
        <w:t> </w:t>
      </w:r>
      <w:r>
        <w:t xml:space="preserve">95:</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C.S.H.J.R.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precious metal held in a precious metal depository located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 held in a precious metal depository located in this state. </w:t>
      </w:r>
      <w:r>
        <w:rPr>
          <w:u w:val="single"/>
        </w:rPr>
        <w:t xml:space="preserve"> </w:t>
      </w:r>
      <w:r>
        <w:rPr>
          <w:u w:val="single"/>
        </w:rPr>
        <w:t xml:space="preserve">The legislature by general law may define "precious metal" and "precious metal depository"</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the legislature to exempt from ad valorem taxation precious metal held in a precious metal depository located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