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w:t xml:space="preserve"> (Senate Sponsor</w:t>
      </w:r>
      <w:r xml:space="preserve">
        <w:t> </w:t>
      </w:r>
      <w:r>
        <w:t xml:space="preserve">-</w:t>
      </w:r>
      <w:r xml:space="preserve">
        <w:t> </w:t>
      </w:r>
      <w:r>
        <w:t xml:space="preserve">Fallon)</w:t>
      </w:r>
      <w:r xml:space="preserve">
        <w:tab wTab="150" tlc="none" cTlc="0"/>
      </w:r>
      <w:r>
        <w:t xml:space="preserve">H.J.R.</w:t>
      </w:r>
      <w:r xml:space="preserve">
        <w:t> </w:t>
      </w:r>
      <w:r>
        <w:t xml:space="preserve">No.</w:t>
      </w:r>
      <w:r xml:space="preserve">
        <w:t> </w:t>
      </w:r>
      <w:r>
        <w:t xml:space="preserve">95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2019; May</w:t>
      </w:r>
      <w:r xml:space="preserve">
        <w:t> </w:t>
      </w:r>
      <w:r>
        <w:t xml:space="preserve">3,</w:t>
      </w:r>
      <w:r xml:space="preserve">
        <w:t> </w:t>
      </w:r>
      <w:r>
        <w:t xml:space="preserve">2019, read first time and referred to Committee on Property Tax; May</w:t>
      </w:r>
      <w:r xml:space="preserve">
        <w:t> </w:t>
      </w:r>
      <w:r>
        <w:t xml:space="preserve">17,</w:t>
      </w:r>
      <w:r xml:space="preserve">
        <w:t> </w:t>
      </w:r>
      <w:r>
        <w:t xml:space="preserve">2019, reported favorably by the following vote:</w:t>
      </w:r>
      <w:r>
        <w:t xml:space="preserve"> </w:t>
      </w:r>
      <w:r>
        <w:t xml:space="preserve"> </w:t>
      </w:r>
      <w:r>
        <w:t xml:space="preserve">Yeas</w:t>
      </w:r>
      <w:r xml:space="preserve">
        <w:t> </w:t>
      </w:r>
      <w:r>
        <w:t xml:space="preserve">5,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JOINT RESOLUTION</w:t>
      </w:r>
    </w:p>
    <w:p w:rsidR="003F3435" w:rsidRDefault="003F3435"/>
    <w:p w:rsidR="003F3435" w:rsidRDefault="0032493E">
      <w:pPr>
        <w:spacing w:line="480" w:lineRule="auto"/>
        <w:jc w:val="both"/>
      </w:pPr>
      <w:r>
        <w:t xml:space="preserve">proposing a constitutional amendment authorizing the legislature to exempt from ad valorem taxation precious metal held in a precious metal depository located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1-p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1-p.</w:t>
      </w:r>
      <w:r>
        <w:rPr>
          <w:u w:val="single"/>
        </w:rPr>
        <w:t xml:space="preserve"> </w:t>
      </w:r>
      <w:r>
        <w:rPr>
          <w:u w:val="single"/>
        </w:rPr>
        <w:t xml:space="preserve"> </w:t>
      </w:r>
      <w:r>
        <w:rPr>
          <w:u w:val="single"/>
        </w:rPr>
        <w:t xml:space="preserve">The legislature by general law may exempt from ad valorem taxation precious metal held in a precious metal depository located in this state. </w:t>
      </w:r>
      <w:r>
        <w:rPr>
          <w:u w:val="single"/>
        </w:rPr>
        <w:t xml:space="preserve"> </w:t>
      </w:r>
      <w:r>
        <w:rPr>
          <w:u w:val="single"/>
        </w:rPr>
        <w:t xml:space="preserve">The legislature by general law may define "precious metal" and "precious metal depository"</w:t>
      </w:r>
      <w:r>
        <w:rPr>
          <w:u w:val="single"/>
        </w:rPr>
        <w:t xml:space="preserve"> </w:t>
      </w:r>
      <w:r>
        <w:rPr>
          <w:u w:val="single"/>
        </w:rPr>
        <w:t xml:space="preserve">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authorizing the legislature to exempt from ad valorem taxation precious metal held in a precious metal depository located in this state."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