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86R10394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H.J.R.</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transfer of a law enforcement animal to a qualified caretaker in certain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law enforcement animal to a qualified caretaker in certain circumstances."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