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86R243 BEF-D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Cain</w:t>
      </w:r>
      <w:r xml:space="preserve">
        <w:tab wTab="150" tlc="none" cTlc="0"/>
      </w:r>
      <w:r>
        <w:t xml:space="preserve">H.J.R.</w:t>
      </w:r>
      <w:r xml:space="preserve">
        <w:t> </w:t>
      </w:r>
      <w:r>
        <w:t xml:space="preserve">No.</w:t>
      </w:r>
      <w:r xml:space="preserve">
        <w:t> </w:t>
      </w:r>
      <w:r>
        <w:t xml:space="preserve">103</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requiring certain tax bills to be approved by two-thirds of all the members elected to each house of the legislature.</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VIII, Texas Constitution, is amended by adding Section 30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w:t>
      </w:r>
      <w:r>
        <w:rPr>
          <w:u w:val="single"/>
        </w:rPr>
        <w:t xml:space="preserve"> </w:t>
      </w:r>
      <w:r>
        <w:rPr>
          <w:u w:val="single"/>
        </w:rPr>
        <w:t xml:space="preserve"> </w:t>
      </w:r>
      <w:r>
        <w:rPr>
          <w:u w:val="single"/>
        </w:rPr>
        <w:t xml:space="preserve">(a)  An affirmative record vote of two-thirds of all the members elected to each house of the legislature on final consideration in each house is required for passage of a bill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imposes a new state tax;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increases the rate of an existing state tax above the rate in effect on the date the bill was filed.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 bill that amends: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manner in which a state tax is computed;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manner in which a state tax is administered or enforced;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applicability of a state tax.</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section, "state tax" does not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or other levy imposed by a political subdivision of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fine, penalty, or interest charge;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charge for a specific service, property, or other item in an amount that reasonably relates to the value of the service, property, or item;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fee, including a filing fee, license or registration fee, or application fee.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requiring a bill that imposes, or increases the rate of, a state tax to be approved by two-thirds of all the members elected to each house of the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