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REGULATION OF CANNABIS.  (a) </w:t>
      </w:r>
      <w:r>
        <w:rPr>
          <w:u w:val="single"/>
        </w:rPr>
        <w:t xml:space="preserve"> </w:t>
      </w:r>
      <w:r>
        <w:rPr>
          <w:u w:val="single"/>
        </w:rPr>
        <w:t xml:space="preserve">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2020. </w:t>
      </w:r>
      <w:r>
        <w:t xml:space="preserve"> </w:t>
      </w:r>
      <w:r>
        <w:t xml:space="preserve">The ballot shall be printed to provide for voting for or against the proposition: </w:t>
      </w:r>
      <w:r>
        <w:t xml:space="preserve"> </w:t>
      </w:r>
      <w:r>
        <w:t xml:space="preserve">"The constitutional amendment directing the legislature to authorize and regulate the possession, cultivation, and sale of cannabis."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