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86R13023 CBH-D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H.J.R.</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credit against ad valorem taxes imposed by a school district on the property owned by a business entity that donates money to the district to create or support career and technical education programs or courses.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1-y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1-y.</w:t>
      </w:r>
      <w:r>
        <w:rPr>
          <w:u w:val="single"/>
        </w:rPr>
        <w:t xml:space="preserve"> </w:t>
      </w:r>
      <w:r>
        <w:rPr>
          <w:u w:val="single"/>
        </w:rPr>
        <w:t xml:space="preserve"> </w:t>
      </w:r>
      <w:r>
        <w:rPr>
          <w:u w:val="single"/>
        </w:rPr>
        <w:t xml:space="preserve">The legislature by general law may provide for a credit against the ad valorem taxes imposed by a school district on the property owned by a business entity that donates money to the district to create or support career and technical education programs or courses.  The legislature may provide eligibility requirements for a credit authorized by this section and formulas for computing the amount of the credit that a business entity may receive in a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credit against ad valorem taxes imposed by a school district on the property owned by a business entity that donates money to the district to create or support career and technical education programs or courses."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