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86R12467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H.J.R.</w:t>
      </w:r>
      <w:r xml:space="preserve">
        <w:t> </w:t>
      </w:r>
      <w:r>
        <w:t xml:space="preserve">No.</w:t>
      </w:r>
      <w:r xml:space="preserve">
        <w:t> </w:t>
      </w:r>
      <w:r>
        <w:t xml:space="preserve">122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require the legislature to provide for the reimbursement of certain political subdivisions for the implementation of laws that establish, expand, or modify a duty or activity that requires the expenditure of revenue.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w:t>
      </w:r>
      <w:r>
        <w:rPr>
          <w:u w:val="single"/>
        </w:rPr>
        <w:t xml:space="preserve"> </w:t>
      </w:r>
      <w:r>
        <w:rPr>
          <w:u w:val="single"/>
        </w:rPr>
        <w:t xml:space="preserve"> </w:t>
      </w:r>
      <w:r>
        <w:rPr>
          <w:u w:val="single"/>
        </w:rPr>
        <w:t xml:space="preserve">(a)  Except as provided by Subsections (b) and (c) of this section, a provision of law enacted by the legislature through a bill that becomes law on or after January 1, 2020, that requires a political subdivision to establish, expand, or modify a duty or activity that requires the expenditure of revenue by the political subdivision shall provide for one of the following methods for the reimbursement to each political subdivision affected by the requirement of the estimated cost to the political subdivision to comply with the requirement or rules adopted under the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appropriating the total estimated cost to all political subdivisions affected by the requirement for the period that begins on the date the bill takes effect;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authorizing or requiring each political subdivision affected by the requirement to impose a fee, charge, assessment, or similar payment for the express purpose of reimbursing the political subdivision for the estimated cost for the period that begins on the date the bill takes effect;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otherwise providing from a source other than the revenue of a political subdivision for the reimbursement of the estimated cost to each affected political subdivision for the period that begins on the date the bill takes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of 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provision of law that imposes a requirement described by that subsection only on one or more of the following political subdivisions: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independent school district;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junior college district;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political subdivision that employs in any capacity a person required to register as a lobbyist under Chapter 305,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of law that imposes a requirement described by that subsection that is required to be enacted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constitution;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United States Constitution;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federal law;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order of a state or federal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 of this section is not effective unless the legislature by general law has prescribed procedural requirements applicable to the consideration of a bill described by Subsection (a) of this section, including requirements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each bill that includes a requirement described by Subsection (a)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the fiscal implications and probable cost of each bill described by Subsection (a) of this section to the members of the legislature.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entitled to reimbursement under Subsection (a) of this section may spend public money for membership fees and dues of a nonprofit state association or organization of similar political subdivisions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association or organization exists for the betterment of local government and the benefit of all local officials;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association or organization does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 in any capacity a person required to register as a lobbyist under Chapter 305, Government Code;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directly or indirectly contribute money, services, or other thing of value to a political campaign;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endorse a candidate or group of candidates for public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to require the legislature to provide for the reimbursement of certain political subdivisions for the implementation of laws that establish, expand, or modify a duty or activity that requires the expenditure of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68, Article III, of this constitution takes effect January 1, 2020, and applies only to a provision of law enacted by the legislature through a bill that passes during a regular or special session of the legislature that is convened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require the legislature to provide for the reimbursement of certain political subdivisions for the implementation of laws that establish, expand, or modify a duty or activity that requires the expenditure of revenue."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