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H.J.R.</w:t>
      </w:r>
      <w:r xml:space="preserve">
        <w:t> </w:t>
      </w:r>
      <w:r>
        <w:t xml:space="preserve">No.</w:t>
      </w:r>
      <w:r xml:space="preserve">
        <w:t> </w:t>
      </w:r>
      <w:r>
        <w:t xml:space="preserve">128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the right to earn a living free from unnecessary government interference.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w:t>
      </w:r>
      <w:r>
        <w:rPr>
          <w:u w:val="single"/>
        </w:rPr>
        <w:t xml:space="preserve"> </w:t>
      </w:r>
      <w:r>
        <w:rPr>
          <w:u w:val="single"/>
        </w:rPr>
        <w:t xml:space="preserve"> </w:t>
      </w:r>
      <w:r>
        <w:rPr>
          <w:u w:val="single"/>
        </w:rPr>
        <w:t xml:space="preserve">RIGHT TO EARN A LIVING.  No governmental action establishing or enforcing requirements for, imposing or enforcing restrictions on, or otherwise regulating the business activity of an occupation or profession may impose a substantial burden on an individual's right to engage in a lawful occupation or profession unless the burden is necessary and narrowly tailored to protect against actual and specific harm to the public health or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2019. The ballot shall be printed to permit voting for or against the proposition: "The constitutional amendment protecting the right to earn a living free from unnecessary government interference."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