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86R4528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H.J.R.</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increases in the appraised value of commercial real property for ad valorem tax purposes.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VIII, Texas Constitution,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Subsections (a) and (b) of this section, the Legislature by general law may limit the maximum appraised value of a parcel of commercial real property for ad valorem tax purposes in a tax year to the lesser of the most recent market value of the property as determined by the appraisal entity or 110 percent, or a greater percentage, of the appraised value of the property for the preceding tax year.  The Legislature by general law may define commercial real property for purposes of this section.  A limitation on appraised values authorized by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effect as to a parcel of commercial real property on the later of the effective date of the law imposing the limitation or January 1 of the tax year following the first tax year in which the owner owns the property on January 1 and in which the property meets the definition of commercial real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on January 1 of the tax year following the first tax year in which the owner of the property ceases to own the property or the property no longer meets the definition of commercial real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authorize the legislature to limit increases in the appraised value of commercial real property for ad valorem tax purposes to 10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