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H.J.R.</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the limitation on the rate of growth of appropriations and the use of surplus state revenue to provide for property tax relief and public school teacher compensation.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49-g(b), Article 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biennium, transfer to the economic stabilization fund one-half of any unencumbered positive balance of general revenues on the last day of the preceding biennium. If necessary, the comptroller shall reduce the amount transferred in proportion to the other amounts prescribed by this section to prevent the amount in the fund from exceeding the limit in effect for that biennium under Subsection (g) of this section.  </w:t>
      </w:r>
      <w:r>
        <w:rPr>
          <w:u w:val="single"/>
        </w:rPr>
        <w:t xml:space="preserve">For purposes of this subsection, general revenues are considered encumbered on the last day of a biennium only to the extent that general revenues are subject to payment for particular identifiable and legally enforceable obligations of this state that were incurred on or before that day and intended to be paid out of appropriations for that biennium.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49-g-5.</w:t>
      </w:r>
      <w:r>
        <w:rPr>
          <w:u w:val="single"/>
        </w:rPr>
        <w:t xml:space="preserve"> </w:t>
      </w:r>
      <w:r>
        <w:rPr>
          <w:u w:val="single"/>
        </w:rPr>
        <w:t xml:space="preserve"> </w:t>
      </w:r>
      <w:r>
        <w:rPr>
          <w:u w:val="single"/>
        </w:rPr>
        <w:t xml:space="preserve">(a)  Not later than the 90th day of each state fiscal biennium, the comptroller of public accounts shall determine an amount equal to one-half of the unencumbered positive balance of general revenues on the last day of the preceding state fiscal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amount determined under Subsection (a)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may be used only to provide compensation for teachers, counselors, and librarians employed in public schools;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may be used only to provide ad valorem tax relief by reducing school district maintenance and operations ad valorem tax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of this section, general revenues are considered encumbered on the last day of a state fiscal biennium only to the extent that general revenues are subject to payment for particular identifiable and legally enforceable obligations of this state that were incurred on or before that day and intended to be paid out of appropriations for that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regarding the use of surplus state revenue to provide for property tax relief and compensation of certain public school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49-g(b), Article III, of this constitution, and Section 49-g-5, Article III, of this constitution, as added by the amendment, apply beginning with the state fiscal biennium that begins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regarding the use of surplus state revenue to provide for property tax relief and compensation for certain public school employees."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