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Huberty</w:t>
      </w:r>
      <w:r xml:space="preserve">
        <w:tab wTab="150" tlc="none" cTlc="0"/>
      </w:r>
      <w:r>
        <w:t xml:space="preserve">H.J.R.</w:t>
      </w:r>
      <w:r xml:space="preserve">
        <w:t> </w:t>
      </w:r>
      <w:r>
        <w:t xml:space="preserve">No.</w:t>
      </w:r>
      <w:r xml:space="preserve">
        <w:t> </w:t>
      </w:r>
      <w:r>
        <w:t xml:space="preserve">151</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allowing increased distributions to the available school fund.</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 Article VII, Texas Constitution, is amended by amending Subsection (g) to read as follows:</w:t>
      </w:r>
    </w:p>
    <w:p w:rsidR="003F3435" w:rsidRDefault="0032493E">
      <w:pPr>
        <w:spacing w:line="480" w:lineRule="auto"/>
        <w:ind w:firstLine="720"/>
        <w:jc w:val="both"/>
      </w:pPr>
      <w:r>
        <w:t xml:space="preserve">(g)</w:t>
      </w:r>
      <w:r xml:space="preserve">
        <w:t> </w:t>
      </w:r>
      <w:r xml:space="preserve">
        <w:t> </w:t>
      </w:r>
      <w:r>
        <w:t xml:space="preserve">Notwithstanding any other provision of this constitution or of a statute, the General Land Office or an entity other than the State Board of Education that has responsibility for the management of permanent school fund land or other properties may in its sole discretion distribute to the available school fund each year revenue derived during that year from the land or properties, not to exceed </w:t>
      </w:r>
      <w:r>
        <w:rPr>
          <w:u w:val="single"/>
        </w:rPr>
        <w:t xml:space="preserve">$600</w:t>
      </w:r>
      <w:r>
        <w:t xml:space="preserve"> </w:t>
      </w:r>
      <w:r>
        <w:t xml:space="preserve">[</w:t>
      </w:r>
      <w:r>
        <w:rPr>
          <w:strike/>
        </w:rPr>
        <w:t xml:space="preserve">$300</w:t>
      </w:r>
      <w:r>
        <w:t xml:space="preserve">] million each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provide for voting for or against the proposition: "The constitutional amendment allowing increased distributions from the available school fund."</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