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Chapter of the Academic Language Therapy Association are gathering at the State Capitol on February 5, 2019, to commemorate Texas ALTA Dyslexia Awareness Day; and</w:t>
      </w:r>
    </w:p>
    <w:p w:rsidR="003F3435" w:rsidRDefault="0032493E">
      <w:pPr>
        <w:spacing w:line="480" w:lineRule="auto"/>
        <w:ind w:firstLine="720"/>
        <w:jc w:val="both"/>
      </w:pPr>
      <w:r>
        <w:t xml:space="preserve">WHEREAS, Texas ALTA is a professional organization of certified academic language therapists, practitioners, and instructors that consists of regional chapters across the state serving families affected by dyslexia; and</w:t>
      </w:r>
    </w:p>
    <w:p w:rsidR="003F3435" w:rsidRDefault="0032493E">
      <w:pPr>
        <w:spacing w:line="480" w:lineRule="auto"/>
        <w:ind w:firstLine="720"/>
        <w:jc w:val="both"/>
      </w:pPr>
      <w:r>
        <w:t xml:space="preserve">WHEREAS, The group is dedicated to its mission of helping members uphold high standards as written-language professionals, of providing quality service to students with dyslexia and related disorders, and of supplying information on licensure for dyslexia therapists; and</w:t>
      </w:r>
    </w:p>
    <w:p w:rsidR="003F3435" w:rsidRDefault="0032493E">
      <w:pPr>
        <w:spacing w:line="480" w:lineRule="auto"/>
        <w:ind w:firstLine="720"/>
        <w:jc w:val="both"/>
      </w:pPr>
      <w:r>
        <w:t xml:space="preserve">WHEREAS, The Texas Chapter of the Academic Language Therapy Association has ably supported the vital work of its members, and in so doing, it has made a positive and lasting difference in the lives of many Texans; now, therefore, be it</w:t>
      </w:r>
    </w:p>
    <w:p w:rsidR="003F3435" w:rsidRDefault="0032493E">
      <w:pPr>
        <w:spacing w:line="480" w:lineRule="auto"/>
        <w:ind w:firstLine="720"/>
        <w:jc w:val="both"/>
      </w:pPr>
      <w:r>
        <w:t xml:space="preserve">RESOLVED, That the House of Representatives of the 86th Texas Legislature hereby recognize February 5, 2019, as Texas ALTA Dyslexia Awareness Day at the State Capitol and  honor Texas ALTA and those parents and students affected by dyslexia who are  attending the event;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Miller</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75 was adopted by the House on February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