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86R7557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year 2019 marks the 46th anniversary of the year the Honorable Mickey Leland was sworn in as a member of the Texas House of Representatives;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Lubbock in 1944, George Thomas "Mickey" Leland III grew up in Houston's Fifth Ward and earned his bachelor's degree in pharmacy at Texas Southern University; while working as an instructor of clinical pharmacy at his alma mater, he developed an educational outreach campaign offering medical screenings to low-income residents;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Congressman Leland was only 28 when he won election to the Texas House of Representatives from District 88, then located in Harris County; he quickly gained renown as a champion of health care for the poor, and he helped secure passage of legislation giving those in need access to affordable generic drugs; a member of numerous committees, he became the first African American to serve on the Senate-House Conference Committee as a member of the House Appropriations Committee, and he was vice chair of the Joint Committee on Prison Reform;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1978, following three terms in the Texas Legislature, Congressman Leland was elected to the United States House of Representatives; he founded the House Select Committee on Hunger and helped establish the National Commission on AIDS; in addition, he secured passage of bills providing fresh produce to low-income families and medical clinics and food to the homeless; he also served as chair of the Black Caucus, and he won praise from the State Department for his successful efforts in arranging the release of four Americans imprisoned in Cuba; tragically, he lost his life in a plane crash in 1989, while leading a relief mission to a refugee camp in Ethiopia; his contributions have since continued to resonate, and over the years, a number of facilities and initiatives have been renamed in his honor, among them a federal building in Houston, the Texas Commission on Environmental Quality's Internship Program, and the Mickey Leland College Preparatory Academy for Young Men; moreover, the Barbara Jordan-Mickey Leland School of Public Affairs at Texas Southern University celebrates the contributions of these two groundbreaking representatives from the 18th Congressional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Mickey Leland demonstrated a tremendous commitment to his fellow Texans and to vulnerable people the world over, and his legacy remains a source of inspiration to all;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46th anniversary of Mickey Leland being sworn in as a member of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