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86R10245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218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Food &amp; Fuel Association are visiting the State Capitol on February 12, 2019; and</w:t>
      </w:r>
    </w:p>
    <w:p w:rsidR="003F3435" w:rsidRDefault="0032493E">
      <w:pPr>
        <w:spacing w:line="480" w:lineRule="auto"/>
        <w:ind w:firstLine="720"/>
        <w:jc w:val="both"/>
      </w:pPr>
      <w:r>
        <w:t xml:space="preserve">WHEREAS, Founded in 1949, the Texas Food &amp; Fuel Association is a nonprofit organization representing more than 600 companies in the wholesale and retail segments of the fuel marketing, convenience, and food industries; and</w:t>
      </w:r>
    </w:p>
    <w:p w:rsidR="003F3435" w:rsidRDefault="0032493E">
      <w:pPr>
        <w:spacing w:line="480" w:lineRule="auto"/>
        <w:ind w:firstLine="720"/>
        <w:jc w:val="both"/>
      </w:pPr>
      <w:r>
        <w:t xml:space="preserve">WHEREAS, The organization's member companies own, operate, and supply more than 12,000 convenience stores across the state, from single store operations to some of the nation's largest retail chains; they distribute approximately seven billion gallons of gasoline and diesel fuel each year, both to motorists and to commercial and industrial users; and</w:t>
      </w:r>
    </w:p>
    <w:p w:rsidR="003F3435" w:rsidRDefault="0032493E">
      <w:pPr>
        <w:spacing w:line="480" w:lineRule="auto"/>
        <w:ind w:firstLine="720"/>
        <w:jc w:val="both"/>
      </w:pPr>
      <w:r>
        <w:t xml:space="preserve">WHEREAS, Under the leadership of its current chair, Cary Rabb, the association advocates on behalf of its members' interests and provides networking, educational, and professional development opportunities as well as resources to help stakeholders assess industry trends and market conditions; and</w:t>
      </w:r>
    </w:p>
    <w:p w:rsidR="003F3435" w:rsidRDefault="0032493E">
      <w:pPr>
        <w:spacing w:line="480" w:lineRule="auto"/>
        <w:ind w:firstLine="720"/>
        <w:jc w:val="both"/>
      </w:pPr>
      <w:r>
        <w:t xml:space="preserve">WHEREAS, Since its inception, the Texas Food &amp; Fuel Association has worked diligently to support the growth and development of a vital sector of the economy, and all those associated with the group may take pride in the contributions they make to the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12, 2019, as Texas Food &amp; Fuel Association Day at the State Capitol and extend to its members sincere best wishes for an enjoyable and informative event;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