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86R6204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2020, marks the 49th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86th Texas Legislature hereby commemorate the 49th anniversary of the birth of Selena Quintanilla Pérez.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