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Arturo Elias Ayub, CEO of Telmex Foundation, was named Mr.</w:t>
      </w:r>
      <w:r xml:space="preserve">
        <w:t> </w:t>
      </w:r>
      <w:r>
        <w:t xml:space="preserve">Amigo 2018 by the Mr.</w:t>
      </w:r>
      <w:r xml:space="preserve">
        <w:t> </w:t>
      </w:r>
      <w:r>
        <w:t xml:space="preserve">Amigo Association of Brownsville on December 17,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 since 1964, the association has designated as "Mr.</w:t>
      </w:r>
      <w:r xml:space="preserve">
        <w:t> </w:t>
      </w:r>
      <w:r>
        <w:t xml:space="preserve">Amigo" an eminent Mexican citizen who has contributed to the enduring friendship between the United States and Mexico;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on April 27, 1966, in Mexico City, Mr.</w:t>
      </w:r>
      <w:r xml:space="preserve">
        <w:t> </w:t>
      </w:r>
      <w:r>
        <w:t xml:space="preserve">Ayub earned a bachelor's degree in business administration from the Universidad Anáhuac in Mexico City and continued his education at El Instituto Panamericano de Alta Dirección de Empresa;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his current role as Telmex Foundation CEO, Mr.</w:t>
      </w:r>
      <w:r xml:space="preserve">
        <w:t> </w:t>
      </w:r>
      <w:r>
        <w:t xml:space="preserve">Ayub has served as CEO of strategic alliances for Telmex, director of Uno Noticias, and co-chair of Ora.TV; moreover, he has chaired the board of the Club Universidad Nacional, more commonly known as Pumas UNAM;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role model for citizens of both Mexico and the United States, Arturo Elias Ayub has made a lasting and positive difference in the Hispanic community, and 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Arturo Elias Ayub on his selection as Mr.</w:t>
      </w:r>
      <w:r xml:space="preserve">
        <w:t> </w:t>
      </w:r>
      <w:r>
        <w:t xml:space="preserve">Amigo 2018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Ayub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Lucio III</w:t>
      </w:r>
    </w:p>
    <w:p w:rsidR="003F3435" w:rsidRDefault="0032493E">
      <w:pPr>
        <w:jc w:val="right"/>
      </w:pPr>
      <w:r>
        <w:t xml:space="preserve">Dominguez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248 was adopted by the House on February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