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86R10703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Dedicated members of the Grand Prairie Unity Coalition are gathering on February 21, 2019, for the group's 14th annual Unity Fund-Raiser Banquet;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GPUC was established by city council member Richard Fregoe in 2004 with the worthwhile goal of promoting awareness, inclusiveness, and community spirit;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the diverse membership of GPUC has promoted cross-cultural understanding through its participation in many events, including the Martin Luther King Jr. Day parade and program, the Cinco de Mayo parade, a Native American powwow, and the annual Juneteenth parade; the group has also collaborated with area businesses and with such organizations as the NAACP and LULAC; as a result of the coalition's contributions, the City of Grand Prairie was acknowledged as an Inclusive City by the National League of Cities in 2006;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annual Unity Banquet is the organization's signature event, and the evening will feature as keynote speaker former representative Rodney Anderson;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commitment to furthering acceptance and diversity, the members of the Grand Prairie Unity Coalition are helping to build a stronger and more vibrant community, and their accomplishments are indeed deserving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the Grand Prairie Unity Coalition on the occasion of its 14th annual Unity Fund-Raiser Banquet and extend to the members of this noteworthy organization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coalition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