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86R6181 BGU-D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Strawn High School football team reached the pinnacle of success for the second consecutive season by winning the 2018 1A Six-Man Division 2 state championship on December 19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claiming the District 10 title with a strong showing in the regular season, the Greyhounds marched through the postseason in dominant fashion; the team won each of its first four playoff games by 45 points or more, defeating Gold-Burg, Walnut Springs, Iredell, and Oakwood High Schools to earn a spot in the title contest against Follett High;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game that was notable for featuring the first-ever use of instant replay in state championship competition, the Strawn players again overwhelmed their opponent; Offensive Most Valuable Player Carlos Villanueva rushed for three touchdowns while Defensive MVP Tanner Hodgkins recorded two sacks as the Greyhounds won 48-0 after the mercy rule was invoked following just one half of play;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triumph marked the first time in school history that Strawn has collected back-to-back state crowns, and it represented the Greyhounds' fourth state title overall, each of which has come under the guidance of head coach Dewaine Lee; the team finished the 2018 campaign with an outstanding record of 13 wins and just 2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winning consecutive state championships, the Greyhounds of Strawn High School have earned a place among the elite teams in Texas six-man high school football, and the players will forever treasure their memories of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Strawn High School football team on winning the 2018 UIL 1A Six-Man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