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429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Gainesville High School marching band earned a perfect score at the UIL 4A Region 2 Marching Band Contest on October 20, 2018, and this achievement would not have been possible without the contributions of Mackinze Cummings;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members of the Redcoat Band brought to the tournament their characteristic poise and talent, as well as the confidence they have garnered from putting in hours of daily practice;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Months of hard work paid off at the 2018 regional contest, when the Gainesville band turned in a performance that impressed each of the three judges and earned division one ratings across the board;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By demonstrating exceptional skill and dedication, Mackinze Cummings has ably represented Gainesville High School and is indeed worthy of recognition;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congratulate Mackinze Cummings on helping the Gainesville High School marching band earn a perfect score at the 2018 UIL 4A Region 2 Marching Band Contest and extend to this promising young musician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Mackinze Cummings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Springer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429 was adopted by the House on March 13, 2019,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429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