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Garlan</w:t>
      </w:r>
      <w:r>
        <w:t xml:space="preserve">d Chamber of Commerce, together with their partners at the City of Garland and Garland Independent School District, are visiting the State Capitol on February 20 and 21, 2019, and this occasion provides a welcome opportunity to pay tribute to these outstanding organizations and the city they serve; and</w:t>
      </w:r>
    </w:p>
    <w:p w:rsidR="003F3435" w:rsidRDefault="0032493E">
      <w:pPr>
        <w:spacing w:line="480" w:lineRule="auto"/>
        <w:ind w:firstLine="720"/>
        <w:jc w:val="both"/>
      </w:pPr>
      <w:r>
        <w:t xml:space="preserve">WHEREAS, For more than 124 years, the chamber of commerce has worked to ensure the economic vitality of Garland; the city needed to broaden its economic base beyond agriculture in the mid-20th century, and the creation of municipally owned utility company Garland Power &amp; Light provided the chamber with incentives necessary to recruit such companies as General Dynamics Corporation, Hatco Corporation, and Kraft Foods Group, Inc., which are among the nearly 400 manufacturing enterprises located in Garland today; and</w:t>
      </w:r>
    </w:p>
    <w:p w:rsidR="003F3435" w:rsidRDefault="0032493E">
      <w:pPr>
        <w:spacing w:line="480" w:lineRule="auto"/>
        <w:ind w:firstLine="720"/>
        <w:jc w:val="both"/>
      </w:pPr>
      <w:r>
        <w:t xml:space="preserve">WHEREAS, The nationally recognized, five-star accredited Garland chamber is the creator of a variety of programs to support small businesses, manufacturing companies, retail firms, and the local education system, acting on the principle that success in each of these areas depends on success in all of them; Garland was the first chamber of commerce to host an office of the Small Business Development Center to provide free small business counseling, and it founded and maintains the Dallas County Manufacturers' Association, the Women's Business E-nitiative, and Leadership Garland; and</w:t>
      </w:r>
    </w:p>
    <w:p w:rsidR="003F3435" w:rsidRDefault="0032493E">
      <w:pPr>
        <w:spacing w:line="480" w:lineRule="auto"/>
        <w:ind w:firstLine="720"/>
        <w:jc w:val="both"/>
      </w:pPr>
      <w:r>
        <w:t xml:space="preserve">WHEREAS, Garland has become the fifth-largest city in the Dallas/Fort Worth Metroplex and one of the fastest growing regions in the nation, home to nearly 240,000 residents and an exceptional school district, with eight Garland ISD campuses having been named National Blue Ribbon Schools a total of 13 times; the chamber, city, and school district, working together toward community sustainability, are also formal partners in the Garland Economic Development Partnership, which has been responsible for the creation and retention of more than 18,000 jobs and a $1.5 billion tax base in the city; and</w:t>
      </w:r>
    </w:p>
    <w:p w:rsidR="003F3435" w:rsidRDefault="0032493E">
      <w:pPr>
        <w:spacing w:line="480" w:lineRule="auto"/>
        <w:ind w:firstLine="720"/>
        <w:jc w:val="both"/>
      </w:pPr>
      <w:r>
        <w:t xml:space="preserve">WHEREAS, Operating under the acronym PRIDE, for Passion, Respect, Integrity, Discipline, and Excellence, the Garland Chamber of Commerce lives up to its tagline, "The Connecting Source," and it is indeed deserving of recognition for the vital role it has played in this Lone Star success story; now, therefore, be it</w:t>
      </w:r>
    </w:p>
    <w:p w:rsidR="003F3435" w:rsidRDefault="0032493E">
      <w:pPr>
        <w:spacing w:line="480" w:lineRule="auto"/>
        <w:ind w:firstLine="720"/>
        <w:jc w:val="both"/>
      </w:pPr>
      <w:r>
        <w:t xml:space="preserve">RESOLVED, That the House of Representatives of the 86th Texas Legislature hereby recognize February 20 and 21, 2019, as Garland Chamber of Commerce Days at the State Capitol and extend to the visiting delegation sincere best wishes for a meaningful and memorable visit to Austin.</w:t>
      </w:r>
    </w:p>
    <w:p w:rsidR="003F3435" w:rsidRDefault="0032493E">
      <w:pPr>
        <w:jc w:val="both"/>
      </w:pPr>
    </w:p>
    <w:p w:rsidR="003F3435" w:rsidRDefault="0032493E">
      <w:pPr>
        <w:jc w:val="right"/>
      </w:pPr>
      <w:r>
        <w:t xml:space="preserve">Button</w:t>
      </w:r>
    </w:p>
    <w:p w:rsidR="003F3435" w:rsidRDefault="0032493E">
      <w:pPr>
        <w:jc w:val="right"/>
      </w:pPr>
      <w:r>
        <w:t xml:space="preserve">Neave</w:t>
      </w:r>
    </w:p>
    <w:p w:rsidR="003F3435" w:rsidRDefault="0032493E">
      <w:pPr>
        <w:jc w:val="right"/>
      </w:pPr>
      <w:r>
        <w:t xml:space="preserve">Bowers</w:t>
      </w:r>
    </w:p>
    <w:p w:rsidR="003F3435" w:rsidRDefault="0032493E">
      <w:pPr>
        <w:jc w:val="right"/>
      </w:pPr>
      <w:r>
        <w:t xml:space="preserve">Ramos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480 was adopted by the House on February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