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527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Garrison Raley of Crosbyton High School has earned a 4-H Gold Star Award, and this accomplishment truly merits special recognition;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highest county-level achievement award conferred by Texas 4-H, the Gold Star Award was first presented in 1933 to recognize the hard work of exemplary 4-H members;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To qualify for the Gold Star Award, members must distinguish themselves by demonstrating leadership ability and by participating in one or more community service initiatives; in addition, recipients are required to belong to 4-H for a minimum of three years and to complete projects in three different areas of emphasis;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son of Rusty and Debralee Norris, Garrison Raley is an active member of the Crosby County 4-H Club; he has attended the Texas 4-H Congress and taken part in shooting sports, livestock judging, and citizenship and civic education projects; moreover, he has raised funds for Animal Rescue of Crosby County, volunteered with the Ralls Lions Club Rodeo, and helped special needs students show animals;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Through his hard work and commitment to excellence, Garrison Raley has brought great pride to his 4-H club, and he may indeed look forward to a future bright with promise;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Garrison Raley on his receipt of a 4-H Gold Star Award and extend to him sincere best wishes for continued success;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Mr.</w:t>
      </w:r>
      <w:r xml:space="preserve">
        <w:t> </w:t>
      </w:r>
      <w:r>
        <w:t xml:space="preserve">Raley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Springer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527 was adopted by the House on March 13, 2019,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527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