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86R14762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540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Recording Academy Texas Chapter are visiting Austin on February 26, 2019, to celebrate Grammy Texas Music Advocacy Day at the State Capitol; and</w:t>
      </w:r>
    </w:p>
    <w:p w:rsidR="003F3435" w:rsidRDefault="0032493E">
      <w:pPr>
        <w:spacing w:line="480" w:lineRule="auto"/>
        <w:ind w:firstLine="720"/>
        <w:jc w:val="both"/>
      </w:pPr>
      <w:r>
        <w:t xml:space="preserve">WHEREAS, The birthplace of Texas country, Tejano, and other distinctive styles, the Lone Star State has a history of producing music in a vast range of genres, and such talented artists as Beyoncé, Gary Clark Jr., Flaco Jimenez, George Strait, and Willie Nelson have all called Texas home; and</w:t>
      </w:r>
    </w:p>
    <w:p w:rsidR="003F3435" w:rsidRDefault="0032493E">
      <w:pPr>
        <w:spacing w:line="480" w:lineRule="auto"/>
        <w:ind w:firstLine="720"/>
        <w:jc w:val="both"/>
      </w:pPr>
      <w:r>
        <w:t xml:space="preserve">WHEREAS, To serve the state's vibrant music community, the Recording Academy, the organization responsible for the Grammy Awards, established a Texas chapter in 1998; at the 61st Annual Grammy Awards in 2019, music professionals from Texas received 48 nominations and won 12 awards, including Album of the Year by Golden native Kacey Musgraves; and</w:t>
      </w:r>
    </w:p>
    <w:p w:rsidR="003F3435" w:rsidRDefault="0032493E">
      <w:pPr>
        <w:spacing w:line="480" w:lineRule="auto"/>
        <w:ind w:firstLine="720"/>
        <w:jc w:val="both"/>
      </w:pPr>
      <w:r>
        <w:t xml:space="preserve">WHEREAS, An integral part of the Texas economy, the music industry is tied to more than 160,000 jobs throughout the state, and each year, live music festivals generate hundreds of millions of dollars in economic activity; as a reflection of its support for this important commercial sector, the Texas Legislature created the Texas Music Office, which opened its doors in 1990; and</w:t>
      </w:r>
    </w:p>
    <w:p w:rsidR="003F3435" w:rsidRDefault="0032493E">
      <w:pPr>
        <w:spacing w:line="480" w:lineRule="auto"/>
        <w:ind w:firstLine="720"/>
        <w:jc w:val="both"/>
      </w:pPr>
      <w:r>
        <w:t xml:space="preserve">WHEREAS, The innovative musicians of the Lone Star State are furthering an exceptional legacy of artistic achievement, and in so doing, they are making a notable contribution to the culture and economy of Texas; now, therefore, be it</w:t>
      </w:r>
    </w:p>
    <w:p w:rsidR="003F3435" w:rsidRDefault="0032493E">
      <w:pPr>
        <w:spacing w:line="480" w:lineRule="auto"/>
        <w:ind w:firstLine="720"/>
        <w:jc w:val="both"/>
      </w:pPr>
      <w:r>
        <w:t xml:space="preserve">RESOLVED, That the House of Representatives of the 86th Texas Legislature hereby recognize February 26, 2019, as Grammy Texas Music Advocacy Day at the State Capitol and extend a warm welcome to the visiting members of the Recording Academy Texas Chapter.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