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significant strides made by the faculty and students of Central Media Arts Academy in Galveston were reflected in the school's notable improvement in the 2017-2018 Texas Education Agency accountability ratings;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TEA measures progress in a number of different areas, and the agency recognizes campuses for high achievement with distinction designations; Central Media Arts Academy garnered these designations in five categories: ELA/Reading, Mathematics, Comparative Academic Growth, Postsecondary Readiness, and Comparative Closing the Gaps; moreover, the school significantly improved its overall rating, receiving a "B";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educators and students of Central Media Arts Academy have demonstrated great dedication in their pursuit of academic excellence, and they may take justifiable pride in these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Central Media Arts Academy on its achievements in the 2017-2018 Texas Education Agency accountability ratings and extend to all those associated with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the academy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Middleton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594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