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86R9518 BK-D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significant strides made by the faculty and students of Central Media Arts Academy in Galveston were reflected in the school's notable improvement in the 2017-2018 Texas Education Agency accountability ratings;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TEA measures progress in a number of different areas, and the agency recognizes campuses for high achievement with distinction designations; Central Media Arts Academy garnered these designations in five categories: ELA/Reading, Mathematics, Comparative Academic Growth, Postsecondary Readiness, and Comparative Closing the Gaps; moreover, the school significantly improved its overall rating, receiving a "B";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educators and students of Central Media Arts Academy have demonstrated great dedication in their pursuit of academic excellence, and they may take justifiable pride in these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Central Media Arts Academy on its achievements in the 2017-2018 Texas Education Agency accountability ratings and extend to all those associated with the school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academy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