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Eagle Aid legal clinic program at Akins High School in Austin has forged a new path in legal education as one of the first high school legal aid clinics in the nation;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Eagle Aid clinic is staffed by student interns, who get firsthand experience with the law by providing free legal services to teachers, students, and members of the greater community; to date, the program has offered guidance in immigration law and the drafting of wills, and it will expand to include other branches of the law in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program was established by the school's students in association with faculty member Armin Salek, who is also a practicing attorney; a former intern of State Senator Kirk Watson, Mr.</w:t>
      </w:r>
      <w:r xml:space="preserve">
        <w:t> </w:t>
      </w:r>
      <w:r>
        <w:t xml:space="preserve">Salek holds a bachelor's degree in government and sociology from The University of Texas at Austin and a law degree from the University of Houston Law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program's alumni and current participants include Aricia Amaro, Owen Cardenas, Eduardo Chavez, Jalen Christian, Mackenzie Cords, Jordan Franken, Christian Hernandez, Marissa Hinojosa, Jose Luna-Espinoza, Jorge Macedo, Leslie Macias Lopez, Shana Mao, Luis Moctezuma, Alazea Ochoa, Joshua Pounds, Mason Pounds, Miranda Rodriguez, Unique Shanklin, and Kolby 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providing students with hands-on experience with the law, Eagle Aid demonstrates the benefits of career education courses and a strong high school curriculum in training and inspiring the next generation of legal professionals;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the Eagle Aid program at Akins High School and extend to Mr.</w:t>
      </w:r>
      <w:r xml:space="preserve">
        <w:t> </w:t>
      </w:r>
      <w:r>
        <w:t xml:space="preserve">Salek and his students sincere best wishes for continued success with their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Eagle Aid program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Howard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601 was adopted by the House on February 26,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