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86R12823 KSM-D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Swanson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781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Each day, countless people are exposed to sexually explicit content through a wide range of media, and these consumers are often unaware of the health risks posed by such material;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Children are encountering pornography before their teens, and this early exposure may lead to low self-esteem and body image disorders and an increased desire to engage in risky sexual behavior;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Besides promoting unhealthy sexual expectations, the adult entertainment industry produces media that objectify women and children as well as depict rape and abuse; by associating violence with sexual gratification, these materials perpetuate the demand for sex trafficking, prostitution, child pornography, and sexual abuse images;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Pornography has also been linked to such detrimental health effects as brain development complications, emotional and medical afflictions, the inability to form and maintain intimate relationships, and sexual addiction; these dangers not only affect people on an individual level but also contribute to the degradation of the family unit, frequently leading to marital dissatisfaction and infidelity;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ubiquity of pornography has resulted in a host of societal problems and potentially negative health effects, and it is of paramount importance that our leaders tackle this critical public health issue;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recognize that pornography is a public health hazard;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Texas House of Representatives recognize the need for education, prevention, research, and policy changes to address the harmful influence and consequences of pornography.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781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