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86R19512 CJM-D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Huberty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835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Students, parents, teachers, and administrators from across the Lone Star State joined together February 4 through 8, 2019, to celebrate National School Counseling Week in Texas;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School counselors are employed in public and private schools throughout Texas and hold dual certification as both teachers and school counselors;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Actively committed to helping students reach their full potential, school counselors encourage students to explore their abilities, strengths, talents, and emotional well-being through the delivery of comprehensive school counseling programs;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School counselors work with teachers, principals, and other campus personnel to guide students as they explore their interests and their abilities and as they set goals for themselves;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School counselors engage with parents to help them support the educational, personal, social, and emotional growth of their children;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These committed educators seek to identify and utilize community resources that can enhance and complement school counseling programs to enable students to become productive members of society;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Comprehensive school counseling programs are an integral part of the educational process, enabling students to succeed in school and in life, and these programs are making a positive and lasting difference for many Texans;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recognize February 4 through 8, 2019, as National School Counseling Week in Texas and extend to all of the state's professional school counselors sincere best wishes for continued success with their important work.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835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